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B529" w14:textId="77777777" w:rsidR="00972A16" w:rsidRDefault="00972A16" w:rsidP="00972A16">
      <w:pPr>
        <w:jc w:val="center"/>
        <w:rPr>
          <w:rFonts w:ascii="Arial" w:hAnsi="Arial" w:cs="Arial"/>
          <w:b/>
          <w:bCs/>
          <w:sz w:val="32"/>
          <w:szCs w:val="32"/>
        </w:rPr>
      </w:pPr>
    </w:p>
    <w:p w14:paraId="1017D364" w14:textId="4A80C1B8" w:rsidR="00EC1C51" w:rsidRPr="00972A16" w:rsidRDefault="005332DA" w:rsidP="00972A16">
      <w:pPr>
        <w:jc w:val="center"/>
        <w:rPr>
          <w:rFonts w:ascii="Arial" w:hAnsi="Arial" w:cs="Arial"/>
          <w:b/>
          <w:bCs/>
          <w:sz w:val="32"/>
          <w:szCs w:val="32"/>
        </w:rPr>
      </w:pPr>
      <w:r>
        <w:rPr>
          <w:rFonts w:ascii="Arial" w:hAnsi="Arial" w:cs="Arial"/>
          <w:b/>
          <w:bCs/>
          <w:sz w:val="32"/>
          <w:szCs w:val="32"/>
        </w:rPr>
        <w:t>Women’s Health in the Workplace Model Policy</w:t>
      </w:r>
    </w:p>
    <w:p w14:paraId="48948A6F" w14:textId="5BAEA512" w:rsidR="005332DA" w:rsidRPr="005332DA" w:rsidRDefault="005332DA" w:rsidP="005332DA">
      <w:pPr>
        <w:rPr>
          <w:rFonts w:ascii="Arial" w:hAnsi="Arial" w:cs="Arial"/>
          <w:b/>
          <w:bCs/>
          <w:sz w:val="24"/>
          <w:szCs w:val="24"/>
        </w:rPr>
      </w:pPr>
      <w:r w:rsidRPr="005332DA">
        <w:rPr>
          <w:rFonts w:ascii="Arial" w:hAnsi="Arial" w:cs="Arial"/>
          <w:b/>
          <w:bCs/>
          <w:sz w:val="24"/>
          <w:szCs w:val="24"/>
        </w:rPr>
        <w:t>Policy Overview</w:t>
      </w:r>
    </w:p>
    <w:p w14:paraId="058F8EF5" w14:textId="77777777" w:rsidR="005332DA" w:rsidRPr="005332DA" w:rsidRDefault="005332DA" w:rsidP="005332DA">
      <w:pPr>
        <w:rPr>
          <w:rFonts w:ascii="Arial" w:hAnsi="Arial" w:cs="Arial"/>
          <w:sz w:val="24"/>
          <w:szCs w:val="24"/>
        </w:rPr>
      </w:pPr>
      <w:r w:rsidRPr="005332DA">
        <w:rPr>
          <w:rFonts w:ascii="Arial" w:hAnsi="Arial" w:cs="Arial"/>
          <w:sz w:val="24"/>
          <w:szCs w:val="24"/>
        </w:rPr>
        <w:t xml:space="preserve">This policy sets out </w:t>
      </w:r>
      <w:r w:rsidRPr="005332DA">
        <w:rPr>
          <w:rFonts w:ascii="Arial" w:hAnsi="Arial" w:cs="Arial"/>
          <w:i/>
          <w:iCs/>
          <w:sz w:val="24"/>
          <w:szCs w:val="24"/>
        </w:rPr>
        <w:t xml:space="preserve">[ORGANISATION NAME] </w:t>
      </w:r>
      <w:r w:rsidRPr="005332DA">
        <w:rPr>
          <w:rFonts w:ascii="Arial" w:hAnsi="Arial" w:cs="Arial"/>
          <w:sz w:val="24"/>
          <w:szCs w:val="24"/>
        </w:rPr>
        <w:t xml:space="preserve">commitment to supporting women’s health in the workplace. </w:t>
      </w:r>
    </w:p>
    <w:p w14:paraId="6F6BFD2E" w14:textId="1AB4A9C7" w:rsidR="005332DA" w:rsidRPr="005332DA" w:rsidRDefault="005332DA" w:rsidP="005332DA">
      <w:pPr>
        <w:rPr>
          <w:rFonts w:ascii="Arial" w:hAnsi="Arial" w:cs="Arial"/>
          <w:sz w:val="24"/>
          <w:szCs w:val="24"/>
        </w:rPr>
      </w:pPr>
      <w:r w:rsidRPr="005332DA">
        <w:rPr>
          <w:rFonts w:ascii="Arial" w:hAnsi="Arial" w:cs="Arial"/>
          <w:sz w:val="24"/>
          <w:szCs w:val="24"/>
        </w:rPr>
        <w:t>It recognises the importance of creating an inclusive, respectful and supportive environment for all employees, regardless of gender, age, ethnicity, disability, sexual orientation or background.</w:t>
      </w:r>
    </w:p>
    <w:p w14:paraId="1CDCC60C" w14:textId="77777777" w:rsidR="005332DA" w:rsidRPr="005332DA" w:rsidRDefault="005332DA" w:rsidP="005332DA">
      <w:pPr>
        <w:rPr>
          <w:rFonts w:ascii="Arial" w:hAnsi="Arial" w:cs="Arial"/>
          <w:sz w:val="24"/>
          <w:szCs w:val="24"/>
        </w:rPr>
      </w:pPr>
      <w:r w:rsidRPr="005332DA">
        <w:rPr>
          <w:rFonts w:ascii="Arial" w:hAnsi="Arial" w:cs="Arial"/>
          <w:sz w:val="24"/>
          <w:szCs w:val="24"/>
        </w:rPr>
        <w:t>The policy is designed to raise awareness of women’s health and to reduce stigma, ensuring that employees feel comfortable discussing health-related concerns with their managers in an open and supportive environment. The policy also commits the employer to implementing a range of support mechanisms where suitable (see ‘Support Mechanisms’ section) and directing staff to relevant advice, resources and support.</w:t>
      </w:r>
    </w:p>
    <w:p w14:paraId="5CA68968" w14:textId="77777777" w:rsidR="005332DA" w:rsidRPr="005332DA" w:rsidRDefault="005332DA" w:rsidP="005332DA">
      <w:pPr>
        <w:rPr>
          <w:rFonts w:ascii="Arial" w:hAnsi="Arial" w:cs="Arial"/>
          <w:sz w:val="24"/>
          <w:szCs w:val="24"/>
        </w:rPr>
      </w:pPr>
      <w:r w:rsidRPr="005332DA">
        <w:rPr>
          <w:rFonts w:ascii="Arial" w:hAnsi="Arial" w:cs="Arial"/>
          <w:b/>
          <w:bCs/>
          <w:sz w:val="24"/>
          <w:szCs w:val="24"/>
        </w:rPr>
        <w:t>Optional –</w:t>
      </w:r>
      <w:r w:rsidRPr="005332DA">
        <w:rPr>
          <w:rFonts w:ascii="Arial" w:hAnsi="Arial" w:cs="Arial"/>
          <w:sz w:val="24"/>
          <w:szCs w:val="24"/>
        </w:rPr>
        <w:t xml:space="preserve"> The policy has been developed following consultation with a trade union, staff association or employee representatives/works council.</w:t>
      </w:r>
    </w:p>
    <w:p w14:paraId="7BF24CD2" w14:textId="77777777" w:rsidR="005332DA" w:rsidRPr="005332DA" w:rsidRDefault="005332DA" w:rsidP="005332DA">
      <w:pPr>
        <w:rPr>
          <w:rFonts w:ascii="Arial" w:hAnsi="Arial" w:cs="Arial"/>
          <w:sz w:val="24"/>
          <w:szCs w:val="24"/>
        </w:rPr>
      </w:pPr>
      <w:r w:rsidRPr="005332DA">
        <w:rPr>
          <w:rFonts w:ascii="Arial" w:hAnsi="Arial" w:cs="Arial"/>
          <w:b/>
          <w:bCs/>
          <w:sz w:val="24"/>
          <w:szCs w:val="24"/>
        </w:rPr>
        <w:t>Optional –</w:t>
      </w:r>
      <w:r w:rsidRPr="005332DA">
        <w:rPr>
          <w:rFonts w:ascii="Arial" w:hAnsi="Arial" w:cs="Arial"/>
          <w:sz w:val="24"/>
          <w:szCs w:val="24"/>
        </w:rPr>
        <w:t xml:space="preserve"> This policy is also supported by a supplementary menstruation policy (note - a template for a template menstruation policy can also be downloaded from Community Union’s website).</w:t>
      </w:r>
    </w:p>
    <w:p w14:paraId="1979FFAA" w14:textId="77777777" w:rsidR="005332DA" w:rsidRPr="005332DA" w:rsidRDefault="005332DA" w:rsidP="005332DA">
      <w:pPr>
        <w:rPr>
          <w:rFonts w:ascii="Arial" w:hAnsi="Arial" w:cs="Arial"/>
          <w:sz w:val="24"/>
          <w:szCs w:val="24"/>
        </w:rPr>
      </w:pPr>
      <w:r w:rsidRPr="005332DA">
        <w:rPr>
          <w:rFonts w:ascii="Arial" w:hAnsi="Arial" w:cs="Arial"/>
          <w:sz w:val="24"/>
          <w:szCs w:val="24"/>
        </w:rPr>
        <w:t xml:space="preserve">This policy does not form part of any contract of employment or other contract to provide services, and we may amend it at any time, subject to agreement with or following consultation with </w:t>
      </w:r>
      <w:r w:rsidRPr="005332DA">
        <w:rPr>
          <w:rFonts w:ascii="Arial" w:hAnsi="Arial" w:cs="Arial"/>
          <w:i/>
          <w:iCs/>
          <w:sz w:val="24"/>
          <w:szCs w:val="24"/>
        </w:rPr>
        <w:t>the [NAME OF TRADE UNION, WORKS COUNCIL OR STAFF ASSOCIATION]</w:t>
      </w:r>
    </w:p>
    <w:p w14:paraId="7851DB78" w14:textId="2DD5A640" w:rsidR="005332DA" w:rsidRPr="005332DA" w:rsidRDefault="005332DA" w:rsidP="005332DA">
      <w:pPr>
        <w:rPr>
          <w:rFonts w:ascii="Arial" w:hAnsi="Arial" w:cs="Arial"/>
          <w:b/>
          <w:bCs/>
          <w:sz w:val="24"/>
          <w:szCs w:val="24"/>
        </w:rPr>
      </w:pPr>
      <w:r w:rsidRPr="005332DA">
        <w:rPr>
          <w:rFonts w:ascii="Arial" w:hAnsi="Arial" w:cs="Arial"/>
          <w:b/>
          <w:bCs/>
          <w:sz w:val="24"/>
          <w:szCs w:val="24"/>
        </w:rPr>
        <w:t xml:space="preserve">Scope </w:t>
      </w:r>
    </w:p>
    <w:p w14:paraId="775D8C11" w14:textId="77777777" w:rsidR="005332DA" w:rsidRPr="005332DA" w:rsidRDefault="005332DA" w:rsidP="005332DA">
      <w:pPr>
        <w:rPr>
          <w:rFonts w:ascii="Arial" w:hAnsi="Arial" w:cs="Arial"/>
          <w:sz w:val="24"/>
          <w:szCs w:val="24"/>
        </w:rPr>
      </w:pPr>
      <w:r w:rsidRPr="005332DA">
        <w:rPr>
          <w:rFonts w:ascii="Arial" w:hAnsi="Arial" w:cs="Arial"/>
          <w:i/>
          <w:iCs/>
          <w:sz w:val="24"/>
          <w:szCs w:val="24"/>
        </w:rPr>
        <w:t>[ORGANISATION NAME]</w:t>
      </w:r>
      <w:r w:rsidRPr="005332DA">
        <w:rPr>
          <w:rFonts w:ascii="Arial" w:hAnsi="Arial" w:cs="Arial"/>
          <w:sz w:val="24"/>
          <w:szCs w:val="24"/>
        </w:rPr>
        <w:t xml:space="preserve"> is committed to fostering a workplace culture that values diversity and inclusivity. This policy applies to all employees, officers, consultants, self-employed contractors, casual workers, agency workers, volunteers and interns </w:t>
      </w:r>
      <w:r w:rsidRPr="005332DA">
        <w:rPr>
          <w:rFonts w:ascii="Arial" w:hAnsi="Arial" w:cs="Arial"/>
          <w:i/>
          <w:iCs/>
          <w:sz w:val="24"/>
          <w:szCs w:val="24"/>
        </w:rPr>
        <w:t>(ACROSS THE ORGANISATION/ AT SITE NAME)</w:t>
      </w:r>
      <w:r w:rsidRPr="005332DA">
        <w:rPr>
          <w:rFonts w:ascii="Arial" w:hAnsi="Arial" w:cs="Arial"/>
          <w:sz w:val="24"/>
          <w:szCs w:val="24"/>
        </w:rPr>
        <w:t>, including those employed on a full-time, part-time, or temporary basis.</w:t>
      </w:r>
    </w:p>
    <w:p w14:paraId="5AD36395" w14:textId="35E22623" w:rsidR="005332DA" w:rsidRPr="005332DA" w:rsidRDefault="005332DA" w:rsidP="005332DA">
      <w:pPr>
        <w:rPr>
          <w:rFonts w:ascii="Arial" w:hAnsi="Arial" w:cs="Arial"/>
          <w:sz w:val="24"/>
          <w:szCs w:val="24"/>
        </w:rPr>
      </w:pPr>
      <w:r w:rsidRPr="005332DA">
        <w:rPr>
          <w:rFonts w:ascii="Arial" w:hAnsi="Arial" w:cs="Arial"/>
          <w:sz w:val="24"/>
          <w:szCs w:val="24"/>
        </w:rPr>
        <w:t xml:space="preserve">The policy aims to support individuals experiencing women’s health issues which </w:t>
      </w:r>
      <w:r w:rsidRPr="005332DA">
        <w:rPr>
          <w:rFonts w:ascii="Arial" w:hAnsi="Arial" w:cs="Arial"/>
          <w:sz w:val="24"/>
          <w:szCs w:val="24"/>
        </w:rPr>
        <w:t>include but</w:t>
      </w:r>
      <w:r w:rsidRPr="005332DA">
        <w:rPr>
          <w:rFonts w:ascii="Arial" w:hAnsi="Arial" w:cs="Arial"/>
          <w:sz w:val="24"/>
          <w:szCs w:val="24"/>
        </w:rPr>
        <w:t xml:space="preserve"> are not limited </w:t>
      </w:r>
      <w:proofErr w:type="gramStart"/>
      <w:r w:rsidRPr="005332DA">
        <w:rPr>
          <w:rFonts w:ascii="Arial" w:hAnsi="Arial" w:cs="Arial"/>
          <w:sz w:val="24"/>
          <w:szCs w:val="24"/>
        </w:rPr>
        <w:t>to:</w:t>
      </w:r>
      <w:proofErr w:type="gramEnd"/>
      <w:r w:rsidRPr="005332DA">
        <w:rPr>
          <w:rFonts w:ascii="Arial" w:hAnsi="Arial" w:cs="Arial"/>
          <w:sz w:val="24"/>
          <w:szCs w:val="24"/>
        </w:rPr>
        <w:t xml:space="preserve"> menstruation; menopause and perimenopause; </w:t>
      </w:r>
      <w:r w:rsidRPr="005332DA">
        <w:rPr>
          <w:rFonts w:ascii="Arial" w:hAnsi="Arial" w:cs="Arial"/>
          <w:sz w:val="24"/>
          <w:szCs w:val="24"/>
        </w:rPr>
        <w:t>gynaecological</w:t>
      </w:r>
      <w:r w:rsidRPr="005332DA">
        <w:rPr>
          <w:rFonts w:ascii="Arial" w:hAnsi="Arial" w:cs="Arial"/>
          <w:sz w:val="24"/>
          <w:szCs w:val="24"/>
        </w:rPr>
        <w:t xml:space="preserve"> conditions (such as endometriosis, adenomyosis and PCOS); fertility issues; pregnancy and pregnancy loss. Further information on the conditions and circumstances outlined above</w:t>
      </w:r>
      <w:r>
        <w:rPr>
          <w:rFonts w:ascii="Arial" w:hAnsi="Arial" w:cs="Arial"/>
          <w:sz w:val="24"/>
          <w:szCs w:val="24"/>
        </w:rPr>
        <w:t>,</w:t>
      </w:r>
      <w:r w:rsidRPr="005332DA">
        <w:rPr>
          <w:rFonts w:ascii="Arial" w:hAnsi="Arial" w:cs="Arial"/>
          <w:sz w:val="24"/>
          <w:szCs w:val="24"/>
        </w:rPr>
        <w:t xml:space="preserve"> and their impact on physical and mental wellbeing</w:t>
      </w:r>
      <w:r>
        <w:rPr>
          <w:rFonts w:ascii="Arial" w:hAnsi="Arial" w:cs="Arial"/>
          <w:sz w:val="24"/>
          <w:szCs w:val="24"/>
        </w:rPr>
        <w:t>,</w:t>
      </w:r>
      <w:r w:rsidRPr="005332DA">
        <w:rPr>
          <w:rFonts w:ascii="Arial" w:hAnsi="Arial" w:cs="Arial"/>
          <w:sz w:val="24"/>
          <w:szCs w:val="24"/>
        </w:rPr>
        <w:t xml:space="preserve"> can be found online, including through the NHS website.</w:t>
      </w:r>
    </w:p>
    <w:p w14:paraId="7AA02B42" w14:textId="77777777" w:rsidR="005332DA" w:rsidRPr="005332DA" w:rsidRDefault="005332DA" w:rsidP="005332DA">
      <w:pPr>
        <w:rPr>
          <w:rFonts w:ascii="Arial" w:hAnsi="Arial" w:cs="Arial"/>
          <w:sz w:val="24"/>
          <w:szCs w:val="24"/>
        </w:rPr>
      </w:pPr>
      <w:r w:rsidRPr="005332DA">
        <w:rPr>
          <w:rFonts w:ascii="Arial" w:hAnsi="Arial" w:cs="Arial"/>
          <w:sz w:val="24"/>
          <w:szCs w:val="24"/>
        </w:rPr>
        <w:t>We recognise that these issues may affect people differently and we strive to provide appropriate support and reasonable adjustments.</w:t>
      </w:r>
    </w:p>
    <w:p w14:paraId="3AA41825" w14:textId="77777777" w:rsidR="005332DA" w:rsidRDefault="005332DA" w:rsidP="005332DA">
      <w:pPr>
        <w:rPr>
          <w:rFonts w:ascii="Arial" w:hAnsi="Arial" w:cs="Arial"/>
          <w:sz w:val="24"/>
          <w:szCs w:val="24"/>
        </w:rPr>
      </w:pPr>
    </w:p>
    <w:p w14:paraId="41FD3FBA" w14:textId="77777777" w:rsidR="005332DA" w:rsidRDefault="005332DA" w:rsidP="005332DA">
      <w:pPr>
        <w:rPr>
          <w:rFonts w:ascii="Arial" w:hAnsi="Arial" w:cs="Arial"/>
          <w:sz w:val="24"/>
          <w:szCs w:val="24"/>
        </w:rPr>
      </w:pPr>
    </w:p>
    <w:p w14:paraId="6DA884E6" w14:textId="443F0DB2" w:rsidR="005332DA" w:rsidRPr="005332DA" w:rsidRDefault="005332DA" w:rsidP="005332DA">
      <w:pPr>
        <w:rPr>
          <w:rFonts w:ascii="Arial" w:hAnsi="Arial" w:cs="Arial"/>
          <w:sz w:val="24"/>
          <w:szCs w:val="24"/>
        </w:rPr>
      </w:pPr>
      <w:r w:rsidRPr="005332DA">
        <w:rPr>
          <w:rFonts w:ascii="Arial" w:hAnsi="Arial" w:cs="Arial"/>
          <w:sz w:val="24"/>
          <w:szCs w:val="24"/>
        </w:rPr>
        <w:t>We encourage an environment in which colleagues can have open conversations about their health/condition. We expect all staff to be supportive of colleagues who may be affected by menopause in the workplace.</w:t>
      </w:r>
    </w:p>
    <w:p w14:paraId="74FF6A8E" w14:textId="77777777" w:rsidR="005332DA" w:rsidRPr="005332DA" w:rsidRDefault="005332DA" w:rsidP="005332DA">
      <w:pPr>
        <w:rPr>
          <w:rFonts w:ascii="Arial" w:hAnsi="Arial" w:cs="Arial"/>
          <w:sz w:val="24"/>
          <w:szCs w:val="24"/>
        </w:rPr>
      </w:pPr>
      <w:r w:rsidRPr="005332DA">
        <w:rPr>
          <w:rFonts w:ascii="Arial" w:hAnsi="Arial" w:cs="Arial"/>
          <w:sz w:val="24"/>
          <w:szCs w:val="24"/>
        </w:rPr>
        <w:t xml:space="preserve">Anyone affected by a related condition should feel confident to talk to </w:t>
      </w:r>
      <w:r w:rsidRPr="005332DA">
        <w:rPr>
          <w:rFonts w:ascii="Arial" w:hAnsi="Arial" w:cs="Arial"/>
          <w:i/>
          <w:iCs/>
          <w:sz w:val="24"/>
          <w:szCs w:val="24"/>
        </w:rPr>
        <w:t>[their line manager OR the HR Department]</w:t>
      </w:r>
      <w:r w:rsidRPr="005332DA">
        <w:rPr>
          <w:rFonts w:ascii="Arial" w:hAnsi="Arial" w:cs="Arial"/>
          <w:sz w:val="24"/>
          <w:szCs w:val="24"/>
        </w:rPr>
        <w:t xml:space="preserve"> about their symptoms and the support they may need to reduce the difficulties their condition can cause them at work.</w:t>
      </w:r>
    </w:p>
    <w:p w14:paraId="05A7C54C" w14:textId="4E9FE3D5" w:rsidR="005332DA" w:rsidRPr="005332DA" w:rsidRDefault="005332DA" w:rsidP="005332DA">
      <w:pPr>
        <w:rPr>
          <w:rFonts w:ascii="Arial" w:hAnsi="Arial" w:cs="Arial"/>
          <w:sz w:val="24"/>
          <w:szCs w:val="24"/>
        </w:rPr>
      </w:pPr>
      <w:r w:rsidRPr="005332DA">
        <w:rPr>
          <w:rFonts w:ascii="Arial" w:hAnsi="Arial" w:cs="Arial"/>
          <w:sz w:val="24"/>
          <w:szCs w:val="24"/>
        </w:rPr>
        <w:t xml:space="preserve">The employer will consider including information about women’s health in any workplace equal opportunities </w:t>
      </w:r>
      <w:r w:rsidRPr="005332DA">
        <w:rPr>
          <w:rFonts w:ascii="Arial" w:hAnsi="Arial" w:cs="Arial"/>
          <w:sz w:val="24"/>
          <w:szCs w:val="24"/>
        </w:rPr>
        <w:t>training or</w:t>
      </w:r>
      <w:r w:rsidRPr="005332DA">
        <w:rPr>
          <w:rFonts w:ascii="Arial" w:hAnsi="Arial" w:cs="Arial"/>
          <w:sz w:val="24"/>
          <w:szCs w:val="24"/>
        </w:rPr>
        <w:t xml:space="preserve"> offer staff training which specifically deals with any related condition. </w:t>
      </w:r>
    </w:p>
    <w:p w14:paraId="1048A3E4" w14:textId="33534427" w:rsidR="005332DA" w:rsidRPr="005332DA" w:rsidRDefault="005332DA" w:rsidP="005332DA">
      <w:pPr>
        <w:rPr>
          <w:rFonts w:ascii="Arial" w:hAnsi="Arial" w:cs="Arial"/>
          <w:b/>
          <w:bCs/>
          <w:sz w:val="24"/>
          <w:szCs w:val="24"/>
        </w:rPr>
      </w:pPr>
      <w:r w:rsidRPr="005332DA">
        <w:rPr>
          <w:rFonts w:ascii="Arial" w:hAnsi="Arial" w:cs="Arial"/>
          <w:b/>
          <w:bCs/>
          <w:sz w:val="24"/>
          <w:szCs w:val="24"/>
        </w:rPr>
        <w:t>Legal and Equality Considerations</w:t>
      </w:r>
    </w:p>
    <w:p w14:paraId="4DC42CE8" w14:textId="77777777" w:rsidR="005332DA" w:rsidRPr="005332DA" w:rsidRDefault="005332DA" w:rsidP="005332DA">
      <w:pPr>
        <w:rPr>
          <w:rFonts w:ascii="Arial" w:hAnsi="Arial" w:cs="Arial"/>
          <w:sz w:val="24"/>
          <w:szCs w:val="24"/>
        </w:rPr>
      </w:pPr>
      <w:r w:rsidRPr="005332DA">
        <w:rPr>
          <w:rFonts w:ascii="Arial" w:hAnsi="Arial" w:cs="Arial"/>
          <w:sz w:val="24"/>
          <w:szCs w:val="24"/>
        </w:rPr>
        <w:t>The policy acknowledges the employer’s obligations to staff under the remit of the Equality Act 2010, the Employment Rights Act, and workplace Health and Safety regulations.</w:t>
      </w:r>
    </w:p>
    <w:p w14:paraId="79FB9A44" w14:textId="77777777" w:rsidR="005332DA" w:rsidRPr="005332DA" w:rsidRDefault="005332DA" w:rsidP="005332DA">
      <w:pPr>
        <w:rPr>
          <w:rFonts w:ascii="Arial" w:hAnsi="Arial" w:cs="Arial"/>
          <w:sz w:val="24"/>
          <w:szCs w:val="24"/>
          <w:u w:val="single"/>
        </w:rPr>
      </w:pPr>
      <w:r w:rsidRPr="005332DA">
        <w:rPr>
          <w:rFonts w:ascii="Arial" w:hAnsi="Arial" w:cs="Arial"/>
          <w:sz w:val="24"/>
          <w:szCs w:val="24"/>
          <w:u w:val="single"/>
        </w:rPr>
        <w:t>Equality Act 2010:</w:t>
      </w:r>
    </w:p>
    <w:p w14:paraId="445A28AD" w14:textId="77777777" w:rsidR="005332DA" w:rsidRPr="005332DA" w:rsidRDefault="005332DA" w:rsidP="005332DA">
      <w:pPr>
        <w:rPr>
          <w:rFonts w:ascii="Arial" w:hAnsi="Arial" w:cs="Arial"/>
          <w:sz w:val="24"/>
          <w:szCs w:val="24"/>
        </w:rPr>
      </w:pPr>
      <w:r w:rsidRPr="005332DA">
        <w:rPr>
          <w:rFonts w:ascii="Arial" w:hAnsi="Arial" w:cs="Arial"/>
          <w:sz w:val="24"/>
          <w:szCs w:val="24"/>
        </w:rPr>
        <w:t>The Equality Act 2010 provides protection against discrimination based on sex, pregnancy, and maternity. It requires employers to make reasonable adjustments to support women in the workplace, particularly in relation to health conditions that may disproportionately affect them. Schedule 22 of the Act specifically addresses the protection of women in relation to pregnancy, maternity, and other circumstances giving rise to risks specifically affecting women.</w:t>
      </w:r>
    </w:p>
    <w:p w14:paraId="51D745FF" w14:textId="77777777" w:rsidR="005332DA" w:rsidRPr="005332DA" w:rsidRDefault="005332DA" w:rsidP="005332DA">
      <w:pPr>
        <w:rPr>
          <w:rFonts w:ascii="Arial" w:hAnsi="Arial" w:cs="Arial"/>
          <w:sz w:val="24"/>
          <w:szCs w:val="24"/>
        </w:rPr>
      </w:pPr>
      <w:r w:rsidRPr="005332DA">
        <w:rPr>
          <w:rFonts w:ascii="Arial" w:hAnsi="Arial" w:cs="Arial"/>
          <w:sz w:val="24"/>
          <w:szCs w:val="24"/>
        </w:rPr>
        <w:t>The policy recognises that symptoms relating to some of the women’s health conditions outlined in the previous section may amount to a disability, requiring reasonable adjustments.</w:t>
      </w:r>
    </w:p>
    <w:p w14:paraId="4AA5169C" w14:textId="31FBD4C4" w:rsidR="005332DA" w:rsidRPr="005332DA" w:rsidRDefault="005332DA" w:rsidP="005332DA">
      <w:pPr>
        <w:rPr>
          <w:rFonts w:ascii="Arial" w:hAnsi="Arial" w:cs="Arial"/>
          <w:sz w:val="24"/>
          <w:szCs w:val="24"/>
          <w:u w:val="single"/>
        </w:rPr>
      </w:pPr>
      <w:r w:rsidRPr="005332DA">
        <w:rPr>
          <w:rFonts w:ascii="Arial" w:hAnsi="Arial" w:cs="Arial"/>
          <w:sz w:val="24"/>
          <w:szCs w:val="24"/>
          <w:u w:val="single"/>
        </w:rPr>
        <w:t>Employment Rights Act</w:t>
      </w:r>
      <w:r>
        <w:rPr>
          <w:rFonts w:ascii="Arial" w:hAnsi="Arial" w:cs="Arial"/>
          <w:sz w:val="24"/>
          <w:szCs w:val="24"/>
          <w:u w:val="single"/>
        </w:rPr>
        <w:t xml:space="preserve"> 2025</w:t>
      </w:r>
      <w:r w:rsidRPr="005332DA">
        <w:rPr>
          <w:rFonts w:ascii="Arial" w:hAnsi="Arial" w:cs="Arial"/>
          <w:sz w:val="24"/>
          <w:szCs w:val="24"/>
          <w:u w:val="single"/>
        </w:rPr>
        <w:t>:</w:t>
      </w:r>
    </w:p>
    <w:p w14:paraId="3A6149BF" w14:textId="77777777" w:rsidR="005332DA" w:rsidRPr="005332DA" w:rsidRDefault="005332DA" w:rsidP="005332DA">
      <w:pPr>
        <w:rPr>
          <w:rFonts w:ascii="Arial" w:hAnsi="Arial" w:cs="Arial"/>
          <w:sz w:val="24"/>
          <w:szCs w:val="24"/>
        </w:rPr>
      </w:pPr>
      <w:r w:rsidRPr="005332DA">
        <w:rPr>
          <w:rFonts w:ascii="Arial" w:hAnsi="Arial" w:cs="Arial"/>
          <w:sz w:val="24"/>
          <w:szCs w:val="24"/>
        </w:rPr>
        <w:t>The Employment Rights Act introduces enhanced protections for pregnant women and new mothers, extending safeguards against dismissal throughout pregnancy, maternity leave, and for six months after returning to work. It also mandates large employers to create action plans to support employees experiencing menopause, including flexible working arrangements and access to support services. The Bill promotes gender equality initiatives and obliges employers to take proactive steps to close the gender pay gap and prevent sexual harassment.</w:t>
      </w:r>
    </w:p>
    <w:p w14:paraId="4156ED84" w14:textId="77777777" w:rsidR="005332DA" w:rsidRPr="005332DA" w:rsidRDefault="005332DA" w:rsidP="005332DA">
      <w:pPr>
        <w:rPr>
          <w:rFonts w:ascii="Arial" w:hAnsi="Arial" w:cs="Arial"/>
          <w:sz w:val="24"/>
          <w:szCs w:val="24"/>
          <w:u w:val="single"/>
        </w:rPr>
      </w:pPr>
      <w:r w:rsidRPr="005332DA">
        <w:rPr>
          <w:rFonts w:ascii="Arial" w:hAnsi="Arial" w:cs="Arial"/>
          <w:sz w:val="24"/>
          <w:szCs w:val="24"/>
          <w:u w:val="single"/>
        </w:rPr>
        <w:t>Health and Safety Regulations:</w:t>
      </w:r>
    </w:p>
    <w:p w14:paraId="3EE2C595" w14:textId="77777777" w:rsidR="005332DA" w:rsidRPr="005332DA" w:rsidRDefault="005332DA" w:rsidP="005332DA">
      <w:pPr>
        <w:rPr>
          <w:rFonts w:ascii="Arial" w:hAnsi="Arial" w:cs="Arial"/>
          <w:sz w:val="24"/>
          <w:szCs w:val="24"/>
        </w:rPr>
      </w:pPr>
      <w:r w:rsidRPr="005332DA">
        <w:rPr>
          <w:rFonts w:ascii="Arial" w:hAnsi="Arial" w:cs="Arial"/>
          <w:sz w:val="24"/>
          <w:szCs w:val="24"/>
        </w:rPr>
        <w:t>Under the Health and Safety at Work etc. Act 1974, employers have a duty to ensure the health, safety, and welfare of all employees. This includes recognising and mitigating risks that specifically affect women, such as those related to menstruation, menopause, and reproductive health. Employers must assess workplace risks and implement measures to support women's health, including adjustments to working conditions and access to appropriate facilities.</w:t>
      </w:r>
    </w:p>
    <w:p w14:paraId="13552977" w14:textId="77777777" w:rsidR="005332DA" w:rsidRDefault="005332DA" w:rsidP="005332DA">
      <w:pPr>
        <w:rPr>
          <w:rFonts w:ascii="Arial" w:hAnsi="Arial" w:cs="Arial"/>
          <w:sz w:val="24"/>
          <w:szCs w:val="24"/>
        </w:rPr>
      </w:pPr>
    </w:p>
    <w:p w14:paraId="1CC2BCCC" w14:textId="251E37F3" w:rsidR="005332DA" w:rsidRPr="005332DA" w:rsidRDefault="005332DA" w:rsidP="005332DA">
      <w:pPr>
        <w:rPr>
          <w:rFonts w:ascii="Arial" w:hAnsi="Arial" w:cs="Arial"/>
          <w:sz w:val="24"/>
          <w:szCs w:val="24"/>
        </w:rPr>
      </w:pPr>
      <w:r w:rsidRPr="005332DA">
        <w:rPr>
          <w:rFonts w:ascii="Arial" w:hAnsi="Arial" w:cs="Arial"/>
          <w:sz w:val="24"/>
          <w:szCs w:val="24"/>
        </w:rPr>
        <w:t xml:space="preserve">The policy references and aligns with </w:t>
      </w:r>
      <w:r w:rsidRPr="005332DA">
        <w:rPr>
          <w:rFonts w:ascii="Arial" w:hAnsi="Arial" w:cs="Arial"/>
          <w:i/>
          <w:iCs/>
          <w:sz w:val="24"/>
          <w:szCs w:val="24"/>
        </w:rPr>
        <w:t>(ORGANISATION NAME)</w:t>
      </w:r>
      <w:r w:rsidRPr="005332DA">
        <w:rPr>
          <w:rFonts w:ascii="Arial" w:hAnsi="Arial" w:cs="Arial"/>
          <w:sz w:val="24"/>
          <w:szCs w:val="24"/>
        </w:rPr>
        <w:t>’s existing equality and diversity commitments, and with organisational policies on sickness absence, flexible working, health and safety and grievance procedures.</w:t>
      </w:r>
    </w:p>
    <w:p w14:paraId="75D1A583" w14:textId="04BA5C97" w:rsidR="005332DA" w:rsidRPr="005332DA" w:rsidRDefault="005332DA" w:rsidP="005332DA">
      <w:pPr>
        <w:rPr>
          <w:rFonts w:ascii="Arial" w:hAnsi="Arial" w:cs="Arial"/>
          <w:b/>
          <w:bCs/>
          <w:sz w:val="24"/>
          <w:szCs w:val="24"/>
        </w:rPr>
      </w:pPr>
      <w:r w:rsidRPr="005332DA">
        <w:rPr>
          <w:rFonts w:ascii="Arial" w:hAnsi="Arial" w:cs="Arial"/>
          <w:b/>
          <w:bCs/>
          <w:sz w:val="24"/>
          <w:szCs w:val="24"/>
        </w:rPr>
        <w:t>Data Protection and Confidentiality</w:t>
      </w:r>
    </w:p>
    <w:p w14:paraId="06C796C4" w14:textId="2693E3D2" w:rsidR="005332DA" w:rsidRPr="005332DA" w:rsidRDefault="005332DA" w:rsidP="005332DA">
      <w:pPr>
        <w:rPr>
          <w:rFonts w:ascii="Arial" w:hAnsi="Arial" w:cs="Arial"/>
          <w:sz w:val="24"/>
          <w:szCs w:val="24"/>
        </w:rPr>
      </w:pPr>
      <w:r w:rsidRPr="005332DA">
        <w:rPr>
          <w:rFonts w:ascii="Arial" w:hAnsi="Arial" w:cs="Arial"/>
          <w:sz w:val="24"/>
          <w:szCs w:val="24"/>
        </w:rPr>
        <w:t xml:space="preserve">The policy is covered by (ORGANISATION NAME)’s Data Protection Policy covering employee health </w:t>
      </w:r>
      <w:r w:rsidRPr="005332DA">
        <w:rPr>
          <w:rFonts w:ascii="Arial" w:hAnsi="Arial" w:cs="Arial"/>
          <w:sz w:val="24"/>
          <w:szCs w:val="24"/>
        </w:rPr>
        <w:t>information and</w:t>
      </w:r>
      <w:r w:rsidRPr="005332DA">
        <w:rPr>
          <w:rFonts w:ascii="Arial" w:hAnsi="Arial" w:cs="Arial"/>
          <w:sz w:val="24"/>
          <w:szCs w:val="24"/>
        </w:rPr>
        <w:t xml:space="preserve"> is compliant with UK GDPR legislation and the Data Protection Act of 2018. </w:t>
      </w:r>
    </w:p>
    <w:p w14:paraId="31EFA091" w14:textId="77777777" w:rsidR="005332DA" w:rsidRPr="005332DA" w:rsidRDefault="005332DA" w:rsidP="005332DA">
      <w:pPr>
        <w:rPr>
          <w:rFonts w:ascii="Arial" w:hAnsi="Arial" w:cs="Arial"/>
          <w:sz w:val="24"/>
          <w:szCs w:val="24"/>
        </w:rPr>
      </w:pPr>
      <w:r w:rsidRPr="005332DA">
        <w:rPr>
          <w:rFonts w:ascii="Arial" w:hAnsi="Arial" w:cs="Arial"/>
          <w:i/>
          <w:iCs/>
          <w:sz w:val="24"/>
          <w:szCs w:val="24"/>
        </w:rPr>
        <w:t>(ORGANISATION NAME)</w:t>
      </w:r>
      <w:r w:rsidRPr="005332DA">
        <w:rPr>
          <w:rFonts w:ascii="Arial" w:hAnsi="Arial" w:cs="Arial"/>
          <w:sz w:val="24"/>
          <w:szCs w:val="24"/>
        </w:rPr>
        <w:t xml:space="preserve"> is committed protecting employees’ confidentiality and respecting their privacy. All information shared with managers, HR and Occupational Health will remain strictly confidential, and can only be processed under the GDPR provisions binding Special Category Data where necessary, proportionate and secure.</w:t>
      </w:r>
    </w:p>
    <w:p w14:paraId="50EF9977" w14:textId="04BDC49D" w:rsidR="005332DA" w:rsidRPr="005332DA" w:rsidRDefault="005332DA" w:rsidP="005332DA">
      <w:pPr>
        <w:rPr>
          <w:rFonts w:ascii="Arial" w:hAnsi="Arial" w:cs="Arial"/>
          <w:b/>
          <w:bCs/>
          <w:sz w:val="24"/>
          <w:szCs w:val="24"/>
        </w:rPr>
      </w:pPr>
      <w:r w:rsidRPr="005332DA">
        <w:rPr>
          <w:rFonts w:ascii="Arial" w:hAnsi="Arial" w:cs="Arial"/>
          <w:b/>
          <w:bCs/>
          <w:sz w:val="24"/>
          <w:szCs w:val="24"/>
        </w:rPr>
        <w:t>Support Mechanisms</w:t>
      </w:r>
    </w:p>
    <w:p w14:paraId="12DF4C51" w14:textId="77777777" w:rsidR="005332DA" w:rsidRPr="005332DA" w:rsidRDefault="005332DA" w:rsidP="005332DA">
      <w:pPr>
        <w:rPr>
          <w:rFonts w:ascii="Arial" w:hAnsi="Arial" w:cs="Arial"/>
          <w:sz w:val="24"/>
          <w:szCs w:val="24"/>
        </w:rPr>
      </w:pPr>
      <w:r w:rsidRPr="005332DA">
        <w:rPr>
          <w:rFonts w:ascii="Arial" w:hAnsi="Arial" w:cs="Arial"/>
          <w:sz w:val="24"/>
          <w:szCs w:val="24"/>
        </w:rPr>
        <w:t>Under the policy, the employer will provide any of the following support mechanisms:</w:t>
      </w:r>
    </w:p>
    <w:p w14:paraId="1B7F69FD" w14:textId="66FD04BC" w:rsidR="005332DA" w:rsidRPr="005332DA" w:rsidRDefault="005332DA" w:rsidP="005332DA">
      <w:pPr>
        <w:pStyle w:val="ListParagraph"/>
        <w:numPr>
          <w:ilvl w:val="0"/>
          <w:numId w:val="11"/>
        </w:numPr>
        <w:rPr>
          <w:rFonts w:ascii="Arial" w:hAnsi="Arial" w:cs="Arial"/>
          <w:sz w:val="24"/>
          <w:szCs w:val="24"/>
        </w:rPr>
      </w:pPr>
      <w:r w:rsidRPr="005332DA">
        <w:rPr>
          <w:rFonts w:ascii="Arial" w:hAnsi="Arial" w:cs="Arial"/>
          <w:sz w:val="24"/>
          <w:szCs w:val="24"/>
        </w:rPr>
        <w:t>Access to occupational health services, the Employee Assistance Programme or a confidential wellbeing helpline</w:t>
      </w:r>
    </w:p>
    <w:p w14:paraId="0211C8FC" w14:textId="35CC9321" w:rsidR="005332DA" w:rsidRPr="005332DA" w:rsidRDefault="005332DA" w:rsidP="005332DA">
      <w:pPr>
        <w:pStyle w:val="ListParagraph"/>
        <w:numPr>
          <w:ilvl w:val="0"/>
          <w:numId w:val="11"/>
        </w:numPr>
        <w:rPr>
          <w:rFonts w:ascii="Arial" w:hAnsi="Arial" w:cs="Arial"/>
          <w:sz w:val="24"/>
          <w:szCs w:val="24"/>
        </w:rPr>
      </w:pPr>
      <w:r w:rsidRPr="005332DA">
        <w:rPr>
          <w:rFonts w:ascii="Arial" w:hAnsi="Arial" w:cs="Arial"/>
          <w:sz w:val="24"/>
          <w:szCs w:val="24"/>
        </w:rPr>
        <w:t>Flexible working arrangements</w:t>
      </w:r>
    </w:p>
    <w:p w14:paraId="7F581641" w14:textId="03F7EE37" w:rsidR="005332DA" w:rsidRPr="005332DA" w:rsidRDefault="005332DA" w:rsidP="005332DA">
      <w:pPr>
        <w:pStyle w:val="ListParagraph"/>
        <w:numPr>
          <w:ilvl w:val="0"/>
          <w:numId w:val="11"/>
        </w:numPr>
        <w:rPr>
          <w:rFonts w:ascii="Arial" w:hAnsi="Arial" w:cs="Arial"/>
          <w:sz w:val="24"/>
          <w:szCs w:val="24"/>
        </w:rPr>
      </w:pPr>
      <w:r w:rsidRPr="005332DA">
        <w:rPr>
          <w:rFonts w:ascii="Arial" w:hAnsi="Arial" w:cs="Arial"/>
          <w:sz w:val="24"/>
          <w:szCs w:val="24"/>
        </w:rPr>
        <w:t>Relevant training for management and HR on women's health issues</w:t>
      </w:r>
    </w:p>
    <w:p w14:paraId="715AA9FB" w14:textId="46BA925E" w:rsidR="005332DA" w:rsidRPr="005332DA" w:rsidRDefault="005332DA" w:rsidP="005332DA">
      <w:pPr>
        <w:pStyle w:val="ListParagraph"/>
        <w:numPr>
          <w:ilvl w:val="0"/>
          <w:numId w:val="11"/>
        </w:numPr>
        <w:rPr>
          <w:rFonts w:ascii="Arial" w:hAnsi="Arial" w:cs="Arial"/>
          <w:sz w:val="24"/>
          <w:szCs w:val="24"/>
        </w:rPr>
      </w:pPr>
      <w:r w:rsidRPr="005332DA">
        <w:rPr>
          <w:rFonts w:ascii="Arial" w:hAnsi="Arial" w:cs="Arial"/>
          <w:sz w:val="24"/>
          <w:szCs w:val="24"/>
        </w:rPr>
        <w:t>Confidential support and signposting to external resources</w:t>
      </w:r>
    </w:p>
    <w:p w14:paraId="3E380861" w14:textId="276BB434" w:rsidR="005332DA" w:rsidRPr="005332DA" w:rsidRDefault="005332DA" w:rsidP="005332DA">
      <w:pPr>
        <w:pStyle w:val="ListParagraph"/>
        <w:numPr>
          <w:ilvl w:val="0"/>
          <w:numId w:val="11"/>
        </w:numPr>
        <w:rPr>
          <w:rFonts w:ascii="Arial" w:hAnsi="Arial" w:cs="Arial"/>
          <w:sz w:val="24"/>
          <w:szCs w:val="24"/>
        </w:rPr>
      </w:pPr>
      <w:r w:rsidRPr="005332DA">
        <w:rPr>
          <w:rFonts w:ascii="Arial" w:hAnsi="Arial" w:cs="Arial"/>
          <w:sz w:val="24"/>
          <w:szCs w:val="24"/>
        </w:rPr>
        <w:t>A risk assessment to identify any reasonable adjustments to the working environment where symptoms are affected by work conditions</w:t>
      </w:r>
    </w:p>
    <w:p w14:paraId="06A6575F" w14:textId="77777777" w:rsidR="005332DA" w:rsidRPr="005332DA" w:rsidRDefault="005332DA" w:rsidP="005332DA">
      <w:pPr>
        <w:rPr>
          <w:rFonts w:ascii="Arial" w:hAnsi="Arial" w:cs="Arial"/>
          <w:sz w:val="24"/>
          <w:szCs w:val="24"/>
        </w:rPr>
      </w:pPr>
      <w:r w:rsidRPr="005332DA">
        <w:rPr>
          <w:rFonts w:ascii="Arial" w:hAnsi="Arial" w:cs="Arial"/>
          <w:sz w:val="24"/>
          <w:szCs w:val="24"/>
        </w:rPr>
        <w:t xml:space="preserve">Risk assessments will be carried out by </w:t>
      </w:r>
      <w:r w:rsidRPr="005332DA">
        <w:rPr>
          <w:rFonts w:ascii="Arial" w:hAnsi="Arial" w:cs="Arial"/>
          <w:i/>
          <w:iCs/>
          <w:sz w:val="24"/>
          <w:szCs w:val="24"/>
        </w:rPr>
        <w:t>(HR/INDEPENDENT ASSESSOR/OCCUPATIONAL HEALTH – SELECT AS APPROPRIATE)</w:t>
      </w:r>
      <w:r w:rsidRPr="005332DA">
        <w:rPr>
          <w:rFonts w:ascii="Arial" w:hAnsi="Arial" w:cs="Arial"/>
          <w:sz w:val="24"/>
          <w:szCs w:val="24"/>
        </w:rPr>
        <w:t xml:space="preserve"> to identify hazards, evaluate risks and implement controls to prevent exposure to conditions that would exacerbate an employee’s health condition. These assessments should be carried out in line with existing policies on sickness absence.</w:t>
      </w:r>
    </w:p>
    <w:p w14:paraId="36727ABB" w14:textId="77777777" w:rsidR="005332DA" w:rsidRPr="005332DA" w:rsidRDefault="005332DA" w:rsidP="005332DA">
      <w:pPr>
        <w:rPr>
          <w:rFonts w:ascii="Arial" w:hAnsi="Arial" w:cs="Arial"/>
          <w:sz w:val="24"/>
          <w:szCs w:val="24"/>
        </w:rPr>
      </w:pPr>
      <w:r w:rsidRPr="005332DA">
        <w:rPr>
          <w:rFonts w:ascii="Arial" w:hAnsi="Arial" w:cs="Arial"/>
          <w:b/>
          <w:bCs/>
          <w:sz w:val="24"/>
          <w:szCs w:val="24"/>
        </w:rPr>
        <w:t>[INSERT -</w:t>
      </w:r>
      <w:r w:rsidRPr="005332DA">
        <w:rPr>
          <w:rFonts w:ascii="Arial" w:hAnsi="Arial" w:cs="Arial"/>
          <w:sz w:val="24"/>
          <w:szCs w:val="24"/>
        </w:rPr>
        <w:t xml:space="preserve"> if you need additional support, you also have access to our confidential employee support helpline </w:t>
      </w:r>
      <w:r w:rsidRPr="005332DA">
        <w:rPr>
          <w:rFonts w:ascii="Arial" w:hAnsi="Arial" w:cs="Arial"/>
          <w:i/>
          <w:iCs/>
          <w:sz w:val="24"/>
          <w:szCs w:val="24"/>
        </w:rPr>
        <w:t>[DETAILS OF HELPLINE]</w:t>
      </w:r>
      <w:r w:rsidRPr="005332DA">
        <w:rPr>
          <w:rFonts w:ascii="Arial" w:hAnsi="Arial" w:cs="Arial"/>
          <w:sz w:val="24"/>
          <w:szCs w:val="24"/>
        </w:rPr>
        <w:t>.</w:t>
      </w:r>
    </w:p>
    <w:p w14:paraId="60DB19A5" w14:textId="5160D16F" w:rsidR="005332DA" w:rsidRPr="005332DA" w:rsidRDefault="005332DA" w:rsidP="005332DA">
      <w:pPr>
        <w:rPr>
          <w:rFonts w:ascii="Arial" w:hAnsi="Arial" w:cs="Arial"/>
          <w:b/>
          <w:bCs/>
          <w:sz w:val="24"/>
          <w:szCs w:val="24"/>
        </w:rPr>
      </w:pPr>
      <w:r w:rsidRPr="005332DA">
        <w:rPr>
          <w:rFonts w:ascii="Arial" w:hAnsi="Arial" w:cs="Arial"/>
          <w:b/>
          <w:bCs/>
          <w:sz w:val="24"/>
          <w:szCs w:val="24"/>
        </w:rPr>
        <w:t>Responsibilities</w:t>
      </w:r>
    </w:p>
    <w:p w14:paraId="5073B43E" w14:textId="77777777" w:rsidR="005332DA" w:rsidRPr="005332DA" w:rsidRDefault="005332DA" w:rsidP="005332DA">
      <w:pPr>
        <w:rPr>
          <w:rFonts w:ascii="Arial" w:hAnsi="Arial" w:cs="Arial"/>
          <w:sz w:val="24"/>
          <w:szCs w:val="24"/>
        </w:rPr>
      </w:pPr>
      <w:r w:rsidRPr="005332DA">
        <w:rPr>
          <w:rFonts w:ascii="Arial" w:hAnsi="Arial" w:cs="Arial"/>
          <w:i/>
          <w:iCs/>
          <w:sz w:val="24"/>
          <w:szCs w:val="24"/>
        </w:rPr>
        <w:t>(HR/BOARD/MANAGEMENT/RELEVANT COMMITTEE – SELECT AS APPROPRIATE)</w:t>
      </w:r>
      <w:r w:rsidRPr="005332DA">
        <w:rPr>
          <w:rFonts w:ascii="Arial" w:hAnsi="Arial" w:cs="Arial"/>
          <w:sz w:val="24"/>
          <w:szCs w:val="24"/>
        </w:rPr>
        <w:t xml:space="preserve"> are responsible for the policy, and the HR department </w:t>
      </w:r>
      <w:r w:rsidRPr="005332DA">
        <w:rPr>
          <w:rFonts w:ascii="Arial" w:hAnsi="Arial" w:cs="Arial"/>
          <w:i/>
          <w:iCs/>
          <w:sz w:val="24"/>
          <w:szCs w:val="24"/>
        </w:rPr>
        <w:t>(OR OTHER APPROPRIATE TEAM/CONTACT)</w:t>
      </w:r>
      <w:r w:rsidRPr="005332DA">
        <w:rPr>
          <w:rFonts w:ascii="Arial" w:hAnsi="Arial" w:cs="Arial"/>
          <w:sz w:val="24"/>
          <w:szCs w:val="24"/>
        </w:rPr>
        <w:t xml:space="preserve"> manages it operationally. </w:t>
      </w:r>
    </w:p>
    <w:p w14:paraId="01D69E8C" w14:textId="77777777" w:rsidR="005332DA" w:rsidRPr="005332DA" w:rsidRDefault="005332DA" w:rsidP="005332DA">
      <w:pPr>
        <w:rPr>
          <w:rFonts w:ascii="Arial" w:hAnsi="Arial" w:cs="Arial"/>
          <w:sz w:val="24"/>
          <w:szCs w:val="24"/>
        </w:rPr>
      </w:pPr>
      <w:r w:rsidRPr="005332DA">
        <w:rPr>
          <w:rFonts w:ascii="Arial" w:hAnsi="Arial" w:cs="Arial"/>
          <w:sz w:val="24"/>
          <w:szCs w:val="24"/>
        </w:rPr>
        <w:t xml:space="preserve">For day-to-day questions or support, staff should contact </w:t>
      </w:r>
      <w:r w:rsidRPr="005332DA">
        <w:rPr>
          <w:rFonts w:ascii="Arial" w:hAnsi="Arial" w:cs="Arial"/>
          <w:i/>
          <w:iCs/>
          <w:sz w:val="24"/>
          <w:szCs w:val="24"/>
        </w:rPr>
        <w:t>(ADD NAME AND CONTACT)</w:t>
      </w:r>
      <w:r w:rsidRPr="005332DA">
        <w:rPr>
          <w:rFonts w:ascii="Arial" w:hAnsi="Arial" w:cs="Arial"/>
          <w:sz w:val="24"/>
          <w:szCs w:val="24"/>
        </w:rPr>
        <w:t>.</w:t>
      </w:r>
    </w:p>
    <w:p w14:paraId="218D032E" w14:textId="77777777" w:rsidR="005332DA" w:rsidRPr="005332DA" w:rsidRDefault="005332DA" w:rsidP="005332DA">
      <w:pPr>
        <w:rPr>
          <w:rFonts w:ascii="Arial" w:hAnsi="Arial" w:cs="Arial"/>
          <w:sz w:val="24"/>
          <w:szCs w:val="24"/>
        </w:rPr>
      </w:pPr>
      <w:r w:rsidRPr="005332DA">
        <w:rPr>
          <w:rFonts w:ascii="Arial" w:hAnsi="Arial" w:cs="Arial"/>
          <w:sz w:val="24"/>
          <w:szCs w:val="24"/>
        </w:rPr>
        <w:t>Managers are responsible for:</w:t>
      </w:r>
    </w:p>
    <w:p w14:paraId="39BFB688" w14:textId="48F45831" w:rsidR="005332DA" w:rsidRPr="005332DA" w:rsidRDefault="005332DA" w:rsidP="005332DA">
      <w:pPr>
        <w:pStyle w:val="ListParagraph"/>
        <w:numPr>
          <w:ilvl w:val="0"/>
          <w:numId w:val="12"/>
        </w:numPr>
        <w:rPr>
          <w:rFonts w:ascii="Arial" w:hAnsi="Arial" w:cs="Arial"/>
          <w:sz w:val="24"/>
          <w:szCs w:val="24"/>
        </w:rPr>
      </w:pPr>
      <w:r w:rsidRPr="005332DA">
        <w:rPr>
          <w:rFonts w:ascii="Arial" w:hAnsi="Arial" w:cs="Arial"/>
          <w:sz w:val="24"/>
          <w:szCs w:val="24"/>
        </w:rPr>
        <w:t>Creating a supportive environment</w:t>
      </w:r>
    </w:p>
    <w:p w14:paraId="0ACA6071" w14:textId="44F9F11B" w:rsidR="005332DA" w:rsidRPr="005332DA" w:rsidRDefault="005332DA" w:rsidP="005332DA">
      <w:pPr>
        <w:pStyle w:val="ListParagraph"/>
        <w:numPr>
          <w:ilvl w:val="0"/>
          <w:numId w:val="12"/>
        </w:numPr>
        <w:rPr>
          <w:rFonts w:ascii="Arial" w:hAnsi="Arial" w:cs="Arial"/>
          <w:sz w:val="24"/>
          <w:szCs w:val="24"/>
        </w:rPr>
      </w:pPr>
      <w:r w:rsidRPr="005332DA">
        <w:rPr>
          <w:rFonts w:ascii="Arial" w:hAnsi="Arial" w:cs="Arial"/>
          <w:sz w:val="24"/>
          <w:szCs w:val="24"/>
        </w:rPr>
        <w:t>Listening to employees’ concerns with empathy and discretion</w:t>
      </w:r>
    </w:p>
    <w:p w14:paraId="55D0A3CA" w14:textId="77777777" w:rsidR="005332DA" w:rsidRPr="005332DA" w:rsidRDefault="005332DA" w:rsidP="005332DA">
      <w:pPr>
        <w:rPr>
          <w:rFonts w:ascii="Arial" w:hAnsi="Arial" w:cs="Arial"/>
          <w:sz w:val="24"/>
          <w:szCs w:val="24"/>
        </w:rPr>
      </w:pPr>
    </w:p>
    <w:p w14:paraId="10E28B25" w14:textId="28D6DC5D" w:rsidR="005332DA" w:rsidRPr="005332DA" w:rsidRDefault="005332DA" w:rsidP="005332DA">
      <w:pPr>
        <w:pStyle w:val="ListParagraph"/>
        <w:numPr>
          <w:ilvl w:val="0"/>
          <w:numId w:val="12"/>
        </w:numPr>
        <w:rPr>
          <w:rFonts w:ascii="Arial" w:hAnsi="Arial" w:cs="Arial"/>
          <w:sz w:val="24"/>
          <w:szCs w:val="24"/>
        </w:rPr>
      </w:pPr>
      <w:r w:rsidRPr="005332DA">
        <w:rPr>
          <w:rFonts w:ascii="Arial" w:hAnsi="Arial" w:cs="Arial"/>
          <w:sz w:val="24"/>
          <w:szCs w:val="24"/>
        </w:rPr>
        <w:t>Making reasonable adjustments where necessary. These could include, but are not limited to, temperature control, flexible working arrangements, or additional rest break provision.</w:t>
      </w:r>
    </w:p>
    <w:p w14:paraId="5E00D7D7" w14:textId="77777777" w:rsidR="005332DA" w:rsidRPr="005332DA" w:rsidRDefault="005332DA" w:rsidP="005332DA">
      <w:pPr>
        <w:rPr>
          <w:rFonts w:ascii="Arial" w:hAnsi="Arial" w:cs="Arial"/>
          <w:sz w:val="24"/>
          <w:szCs w:val="24"/>
        </w:rPr>
      </w:pPr>
      <w:r w:rsidRPr="005332DA">
        <w:rPr>
          <w:rFonts w:ascii="Arial" w:hAnsi="Arial" w:cs="Arial"/>
          <w:sz w:val="24"/>
          <w:szCs w:val="24"/>
        </w:rPr>
        <w:t>Employees are encouraged to:</w:t>
      </w:r>
    </w:p>
    <w:p w14:paraId="6165454B" w14:textId="7EEB203E" w:rsidR="005332DA" w:rsidRPr="005332DA" w:rsidRDefault="005332DA" w:rsidP="005332DA">
      <w:pPr>
        <w:pStyle w:val="ListParagraph"/>
        <w:numPr>
          <w:ilvl w:val="0"/>
          <w:numId w:val="13"/>
        </w:numPr>
        <w:rPr>
          <w:rFonts w:ascii="Arial" w:hAnsi="Arial" w:cs="Arial"/>
          <w:sz w:val="24"/>
          <w:szCs w:val="24"/>
        </w:rPr>
      </w:pPr>
      <w:r w:rsidRPr="005332DA">
        <w:rPr>
          <w:rFonts w:ascii="Arial" w:hAnsi="Arial" w:cs="Arial"/>
          <w:sz w:val="24"/>
          <w:szCs w:val="24"/>
        </w:rPr>
        <w:t>Communicate openly with their manager about any health-related needs</w:t>
      </w:r>
    </w:p>
    <w:p w14:paraId="0520478F" w14:textId="6081FBD5" w:rsidR="005332DA" w:rsidRPr="005332DA" w:rsidRDefault="005332DA" w:rsidP="005332DA">
      <w:pPr>
        <w:pStyle w:val="ListParagraph"/>
        <w:numPr>
          <w:ilvl w:val="0"/>
          <w:numId w:val="13"/>
        </w:numPr>
        <w:rPr>
          <w:rFonts w:ascii="Arial" w:hAnsi="Arial" w:cs="Arial"/>
          <w:sz w:val="24"/>
          <w:szCs w:val="24"/>
        </w:rPr>
      </w:pPr>
      <w:r w:rsidRPr="005332DA">
        <w:rPr>
          <w:rFonts w:ascii="Arial" w:hAnsi="Arial" w:cs="Arial"/>
          <w:sz w:val="24"/>
          <w:szCs w:val="24"/>
        </w:rPr>
        <w:t>Seek support when needed</w:t>
      </w:r>
    </w:p>
    <w:p w14:paraId="4265EF59" w14:textId="2415D5F0" w:rsidR="005332DA" w:rsidRPr="005332DA" w:rsidRDefault="005332DA" w:rsidP="005332DA">
      <w:pPr>
        <w:pStyle w:val="ListParagraph"/>
        <w:numPr>
          <w:ilvl w:val="0"/>
          <w:numId w:val="13"/>
        </w:numPr>
        <w:rPr>
          <w:rFonts w:ascii="Arial" w:hAnsi="Arial" w:cs="Arial"/>
          <w:sz w:val="24"/>
          <w:szCs w:val="24"/>
        </w:rPr>
      </w:pPr>
      <w:r w:rsidRPr="005332DA">
        <w:rPr>
          <w:rFonts w:ascii="Arial" w:hAnsi="Arial" w:cs="Arial"/>
          <w:sz w:val="24"/>
          <w:szCs w:val="24"/>
        </w:rPr>
        <w:t>Support colleagues experiencing symptoms</w:t>
      </w:r>
    </w:p>
    <w:p w14:paraId="5B9BFE39" w14:textId="67E1A420" w:rsidR="005332DA" w:rsidRPr="005332DA" w:rsidRDefault="005332DA" w:rsidP="005332DA">
      <w:pPr>
        <w:rPr>
          <w:rFonts w:ascii="Arial" w:hAnsi="Arial" w:cs="Arial"/>
          <w:b/>
          <w:bCs/>
          <w:sz w:val="24"/>
          <w:szCs w:val="24"/>
        </w:rPr>
      </w:pPr>
      <w:r w:rsidRPr="005332DA">
        <w:rPr>
          <w:rFonts w:ascii="Arial" w:hAnsi="Arial" w:cs="Arial"/>
          <w:b/>
          <w:bCs/>
          <w:sz w:val="24"/>
          <w:szCs w:val="24"/>
        </w:rPr>
        <w:t>Review and Monitoring</w:t>
      </w:r>
    </w:p>
    <w:p w14:paraId="0A74C932" w14:textId="77777777" w:rsidR="005332DA" w:rsidRPr="005332DA" w:rsidRDefault="005332DA" w:rsidP="005332DA">
      <w:pPr>
        <w:rPr>
          <w:rFonts w:ascii="Arial" w:hAnsi="Arial" w:cs="Arial"/>
          <w:sz w:val="24"/>
          <w:szCs w:val="24"/>
        </w:rPr>
      </w:pPr>
      <w:r w:rsidRPr="005332DA">
        <w:rPr>
          <w:rFonts w:ascii="Arial" w:hAnsi="Arial" w:cs="Arial"/>
          <w:sz w:val="24"/>
          <w:szCs w:val="24"/>
        </w:rPr>
        <w:t xml:space="preserve">This policy will be reviewed annually by </w:t>
      </w:r>
      <w:r w:rsidRPr="005332DA">
        <w:rPr>
          <w:rFonts w:ascii="Arial" w:hAnsi="Arial" w:cs="Arial"/>
          <w:i/>
          <w:iCs/>
          <w:sz w:val="24"/>
          <w:szCs w:val="24"/>
        </w:rPr>
        <w:t>(HR/BOARD/MANAGEMENT/RELEVANT COMMITTEE – SELECT AS APPROPRIATE)</w:t>
      </w:r>
      <w:r w:rsidRPr="005332DA">
        <w:rPr>
          <w:rFonts w:ascii="Arial" w:hAnsi="Arial" w:cs="Arial"/>
          <w:sz w:val="24"/>
          <w:szCs w:val="24"/>
        </w:rPr>
        <w:t xml:space="preserve"> in consultation with employees and trade union representatives. Feedback is welcomed to ensure the policy remains relevant and effective.</w:t>
      </w:r>
    </w:p>
    <w:p w14:paraId="3D5739A3" w14:textId="77777777" w:rsidR="005332DA" w:rsidRPr="005332DA" w:rsidRDefault="005332DA" w:rsidP="005332DA">
      <w:pPr>
        <w:rPr>
          <w:rFonts w:ascii="Arial" w:hAnsi="Arial" w:cs="Arial"/>
          <w:sz w:val="24"/>
          <w:szCs w:val="24"/>
        </w:rPr>
      </w:pPr>
      <w:r w:rsidRPr="005332DA">
        <w:rPr>
          <w:rFonts w:ascii="Arial" w:hAnsi="Arial" w:cs="Arial"/>
          <w:sz w:val="24"/>
          <w:szCs w:val="24"/>
        </w:rPr>
        <w:t>The effectiveness of the policy will be measured by a compliance checklist document.</w:t>
      </w:r>
    </w:p>
    <w:p w14:paraId="564AFE13" w14:textId="56624753" w:rsidR="005332DA" w:rsidRPr="005332DA" w:rsidRDefault="005332DA" w:rsidP="005332DA">
      <w:pPr>
        <w:rPr>
          <w:rFonts w:ascii="Arial" w:hAnsi="Arial" w:cs="Arial"/>
          <w:sz w:val="24"/>
          <w:szCs w:val="24"/>
        </w:rPr>
      </w:pPr>
      <w:r w:rsidRPr="005332DA">
        <w:rPr>
          <w:rFonts w:ascii="Arial" w:hAnsi="Arial" w:cs="Arial"/>
          <w:sz w:val="24"/>
          <w:szCs w:val="24"/>
        </w:rPr>
        <w:t xml:space="preserve">Staff requiring support should contact </w:t>
      </w:r>
      <w:r w:rsidRPr="005332DA">
        <w:rPr>
          <w:rFonts w:ascii="Arial" w:hAnsi="Arial" w:cs="Arial"/>
          <w:i/>
          <w:iCs/>
          <w:sz w:val="24"/>
          <w:szCs w:val="24"/>
        </w:rPr>
        <w:t>(WORKPLACE REPRESENTATIVE NAME)</w:t>
      </w:r>
      <w:r w:rsidRPr="005332DA">
        <w:rPr>
          <w:rFonts w:ascii="Arial" w:hAnsi="Arial" w:cs="Arial"/>
          <w:sz w:val="24"/>
          <w:szCs w:val="24"/>
        </w:rPr>
        <w:t xml:space="preserve"> via </w:t>
      </w:r>
      <w:r w:rsidRPr="005332DA">
        <w:rPr>
          <w:rFonts w:ascii="Arial" w:hAnsi="Arial" w:cs="Arial"/>
          <w:i/>
          <w:iCs/>
          <w:sz w:val="24"/>
          <w:szCs w:val="24"/>
        </w:rPr>
        <w:t>(CONTACT NUMBER/EMAIL)</w:t>
      </w:r>
      <w:r w:rsidRPr="005332DA">
        <w:rPr>
          <w:rFonts w:ascii="Arial" w:hAnsi="Arial" w:cs="Arial"/>
          <w:sz w:val="24"/>
          <w:szCs w:val="24"/>
        </w:rPr>
        <w:t>.</w:t>
      </w:r>
    </w:p>
    <w:p w14:paraId="4484BBEB" w14:textId="77777777" w:rsidR="00972A16" w:rsidRPr="00972A16" w:rsidRDefault="00972A16" w:rsidP="00972A16">
      <w:pPr>
        <w:rPr>
          <w:rFonts w:ascii="Arial" w:hAnsi="Arial" w:cs="Arial"/>
          <w:sz w:val="24"/>
          <w:szCs w:val="24"/>
        </w:rPr>
      </w:pPr>
    </w:p>
    <w:p w14:paraId="02BB24E2" w14:textId="10BA9D90" w:rsidR="000400F6" w:rsidRPr="00972A16" w:rsidRDefault="000400F6" w:rsidP="000400F6">
      <w:pPr>
        <w:rPr>
          <w:rFonts w:ascii="Arial" w:hAnsi="Arial" w:cs="Arial"/>
          <w:sz w:val="24"/>
          <w:szCs w:val="24"/>
        </w:rPr>
      </w:pPr>
      <w:r w:rsidRPr="00972A16">
        <w:rPr>
          <w:rFonts w:ascii="Arial" w:hAnsi="Arial" w:cs="Arial"/>
          <w:noProof/>
          <w:sz w:val="24"/>
          <w:szCs w:val="24"/>
        </w:rPr>
        <mc:AlternateContent>
          <mc:Choice Requires="wps">
            <w:drawing>
              <wp:anchor distT="0" distB="0" distL="114300" distR="114300" simplePos="0" relativeHeight="251659264" behindDoc="0" locked="0" layoutInCell="1" allowOverlap="1" wp14:anchorId="623B4D1D" wp14:editId="1A89B39C">
                <wp:simplePos x="0" y="0"/>
                <wp:positionH relativeFrom="margin">
                  <wp:align>right</wp:align>
                </wp:positionH>
                <wp:positionV relativeFrom="paragraph">
                  <wp:posOffset>40005</wp:posOffset>
                </wp:positionV>
                <wp:extent cx="5591175" cy="1060450"/>
                <wp:effectExtent l="0" t="0" r="28575" b="25400"/>
                <wp:wrapNone/>
                <wp:docPr id="1900321604" name="Rectangle 2"/>
                <wp:cNvGraphicFramePr/>
                <a:graphic xmlns:a="http://schemas.openxmlformats.org/drawingml/2006/main">
                  <a:graphicData uri="http://schemas.microsoft.com/office/word/2010/wordprocessingShape">
                    <wps:wsp>
                      <wps:cNvSpPr/>
                      <wps:spPr>
                        <a:xfrm>
                          <a:off x="0" y="0"/>
                          <a:ext cx="5591175" cy="106045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BC0ABF" w14:textId="54C53C7F" w:rsidR="000400F6" w:rsidRPr="005332DA" w:rsidRDefault="001C3E3B" w:rsidP="000400F6">
                            <w:pPr>
                              <w:jc w:val="center"/>
                              <w:rPr>
                                <w:rFonts w:ascii="Arial" w:hAnsi="Arial" w:cs="Arial"/>
                                <w:b/>
                                <w:bCs/>
                                <w:color w:val="000000" w:themeColor="text1"/>
                                <w:sz w:val="24"/>
                                <w:szCs w:val="24"/>
                                <w:lang w:val="en-US"/>
                              </w:rPr>
                            </w:pPr>
                            <w:r w:rsidRPr="00972A16">
                              <w:rPr>
                                <w:rFonts w:ascii="Arial" w:hAnsi="Arial" w:cs="Arial"/>
                                <w:b/>
                                <w:bCs/>
                                <w:color w:val="000000" w:themeColor="text1"/>
                                <w:sz w:val="24"/>
                                <w:szCs w:val="24"/>
                              </w:rPr>
                              <w:t xml:space="preserve">This model policy is a general template </w:t>
                            </w:r>
                            <w:r w:rsidR="00972A16">
                              <w:rPr>
                                <w:rFonts w:ascii="Arial" w:hAnsi="Arial" w:cs="Arial"/>
                                <w:b/>
                                <w:bCs/>
                                <w:color w:val="000000" w:themeColor="text1"/>
                                <w:sz w:val="24"/>
                                <w:szCs w:val="24"/>
                              </w:rPr>
                              <w:t xml:space="preserve">created by Community Union </w:t>
                            </w:r>
                            <w:r w:rsidRPr="00972A16">
                              <w:rPr>
                                <w:rFonts w:ascii="Arial" w:hAnsi="Arial" w:cs="Arial"/>
                                <w:b/>
                                <w:bCs/>
                                <w:color w:val="000000" w:themeColor="text1"/>
                                <w:sz w:val="24"/>
                                <w:szCs w:val="24"/>
                              </w:rPr>
                              <w:t xml:space="preserve">and should be adapted to align with your organisation's specific needs, legal requirements and company culture. Additionally, seeking legal advice and involving employees and </w:t>
                            </w:r>
                            <w:r w:rsidR="00972A16">
                              <w:rPr>
                                <w:rFonts w:ascii="Arial" w:hAnsi="Arial" w:cs="Arial"/>
                                <w:b/>
                                <w:bCs/>
                                <w:color w:val="000000" w:themeColor="text1"/>
                                <w:sz w:val="24"/>
                                <w:szCs w:val="24"/>
                              </w:rPr>
                              <w:t xml:space="preserve">Community </w:t>
                            </w:r>
                            <w:r w:rsidRPr="00972A16">
                              <w:rPr>
                                <w:rFonts w:ascii="Arial" w:hAnsi="Arial" w:cs="Arial"/>
                                <w:b/>
                                <w:bCs/>
                                <w:color w:val="000000" w:themeColor="text1"/>
                                <w:sz w:val="24"/>
                                <w:szCs w:val="24"/>
                              </w:rPr>
                              <w:t>trade union representatives while drafting and implementing such policies is recommended.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B4D1D" id="Rectangle 2" o:spid="_x0000_s1026" style="position:absolute;margin-left:389.05pt;margin-top:3.15pt;width:440.25pt;height:8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" fillcolor="#f7caac [1301]" strokecolor="#09101d [484]" strokeweight="1pt">
                <v:textbox>
                  <w:txbxContent>
                    <w:p w14:paraId="17BC0ABF" w14:textId="54C53C7F" w:rsidR="000400F6" w:rsidRPr="005332DA" w:rsidRDefault="001C3E3B" w:rsidP="000400F6">
                      <w:pPr>
                        <w:jc w:val="center"/>
                        <w:rPr>
                          <w:rFonts w:ascii="Arial" w:hAnsi="Arial" w:cs="Arial"/>
                          <w:b/>
                          <w:bCs/>
                          <w:color w:val="000000" w:themeColor="text1"/>
                          <w:sz w:val="24"/>
                          <w:szCs w:val="24"/>
                          <w:lang w:val="en-US"/>
                        </w:rPr>
                      </w:pPr>
                      <w:r w:rsidRPr="00972A16">
                        <w:rPr>
                          <w:rFonts w:ascii="Arial" w:hAnsi="Arial" w:cs="Arial"/>
                          <w:b/>
                          <w:bCs/>
                          <w:color w:val="000000" w:themeColor="text1"/>
                          <w:sz w:val="24"/>
                          <w:szCs w:val="24"/>
                        </w:rPr>
                        <w:t xml:space="preserve">This model policy is a general template </w:t>
                      </w:r>
                      <w:r w:rsidR="00972A16">
                        <w:rPr>
                          <w:rFonts w:ascii="Arial" w:hAnsi="Arial" w:cs="Arial"/>
                          <w:b/>
                          <w:bCs/>
                          <w:color w:val="000000" w:themeColor="text1"/>
                          <w:sz w:val="24"/>
                          <w:szCs w:val="24"/>
                        </w:rPr>
                        <w:t xml:space="preserve">created by Community Union </w:t>
                      </w:r>
                      <w:r w:rsidRPr="00972A16">
                        <w:rPr>
                          <w:rFonts w:ascii="Arial" w:hAnsi="Arial" w:cs="Arial"/>
                          <w:b/>
                          <w:bCs/>
                          <w:color w:val="000000" w:themeColor="text1"/>
                          <w:sz w:val="24"/>
                          <w:szCs w:val="24"/>
                        </w:rPr>
                        <w:t xml:space="preserve">and should be adapted to align with your organisation's specific needs, legal requirements and company culture. Additionally, seeking legal advice and involving employees and </w:t>
                      </w:r>
                      <w:r w:rsidR="00972A16">
                        <w:rPr>
                          <w:rFonts w:ascii="Arial" w:hAnsi="Arial" w:cs="Arial"/>
                          <w:b/>
                          <w:bCs/>
                          <w:color w:val="000000" w:themeColor="text1"/>
                          <w:sz w:val="24"/>
                          <w:szCs w:val="24"/>
                        </w:rPr>
                        <w:t xml:space="preserve">Community </w:t>
                      </w:r>
                      <w:r w:rsidRPr="00972A16">
                        <w:rPr>
                          <w:rFonts w:ascii="Arial" w:hAnsi="Arial" w:cs="Arial"/>
                          <w:b/>
                          <w:bCs/>
                          <w:color w:val="000000" w:themeColor="text1"/>
                          <w:sz w:val="24"/>
                          <w:szCs w:val="24"/>
                        </w:rPr>
                        <w:t>trade union representatives while drafting and implementing such policies is recommended.</w:t>
                      </w:r>
                    </w:p>
                  </w:txbxContent>
                </v:textbox>
                <w10:wrap anchorx="margin"/>
              </v:rect>
            </w:pict>
          </mc:Fallback>
        </mc:AlternateContent>
      </w:r>
    </w:p>
    <w:p w14:paraId="2D1DE8C3" w14:textId="77777777" w:rsidR="000400F6" w:rsidRPr="00972A16" w:rsidRDefault="000400F6" w:rsidP="000400F6">
      <w:pPr>
        <w:rPr>
          <w:rFonts w:ascii="Arial" w:hAnsi="Arial" w:cs="Arial"/>
          <w:sz w:val="24"/>
          <w:szCs w:val="24"/>
        </w:rPr>
      </w:pPr>
    </w:p>
    <w:p w14:paraId="764035EF" w14:textId="77777777" w:rsidR="000400F6" w:rsidRPr="00972A16" w:rsidRDefault="000400F6" w:rsidP="000400F6">
      <w:pPr>
        <w:rPr>
          <w:rFonts w:ascii="Arial" w:hAnsi="Arial" w:cs="Arial"/>
          <w:sz w:val="24"/>
          <w:szCs w:val="24"/>
        </w:rPr>
      </w:pPr>
    </w:p>
    <w:p w14:paraId="749415C8" w14:textId="77777777" w:rsidR="000400F6" w:rsidRPr="00972A16" w:rsidRDefault="000400F6" w:rsidP="000400F6">
      <w:pPr>
        <w:pStyle w:val="ListParagraph"/>
        <w:ind w:left="360"/>
        <w:rPr>
          <w:rFonts w:ascii="Arial" w:hAnsi="Arial" w:cs="Arial"/>
          <w:sz w:val="24"/>
          <w:szCs w:val="24"/>
        </w:rPr>
      </w:pPr>
    </w:p>
    <w:p w14:paraId="1AFC0274" w14:textId="77777777" w:rsidR="00EC1C51" w:rsidRDefault="00EC1C51"/>
    <w:sectPr w:rsidR="00EC1C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5AFC" w14:textId="77777777" w:rsidR="00E4608E" w:rsidRDefault="00E4608E" w:rsidP="00972A16">
      <w:pPr>
        <w:spacing w:after="0" w:line="240" w:lineRule="auto"/>
      </w:pPr>
      <w:r>
        <w:separator/>
      </w:r>
    </w:p>
  </w:endnote>
  <w:endnote w:type="continuationSeparator" w:id="0">
    <w:p w14:paraId="07FE7481" w14:textId="77777777" w:rsidR="00E4608E" w:rsidRDefault="00E4608E" w:rsidP="0097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4950" w14:textId="77777777" w:rsidR="00E4608E" w:rsidRDefault="00E4608E" w:rsidP="00972A16">
      <w:pPr>
        <w:spacing w:after="0" w:line="240" w:lineRule="auto"/>
      </w:pPr>
      <w:r>
        <w:separator/>
      </w:r>
    </w:p>
  </w:footnote>
  <w:footnote w:type="continuationSeparator" w:id="0">
    <w:p w14:paraId="357F4287" w14:textId="77777777" w:rsidR="00E4608E" w:rsidRDefault="00E4608E" w:rsidP="0097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5C43" w14:textId="7B22B4A0" w:rsidR="00972A16" w:rsidRDefault="00972A16">
    <w:pPr>
      <w:pStyle w:val="Header"/>
    </w:pPr>
    <w:r>
      <w:rPr>
        <w:noProof/>
      </w:rPr>
      <w:drawing>
        <wp:anchor distT="0" distB="0" distL="114300" distR="114300" simplePos="0" relativeHeight="251658240" behindDoc="1" locked="0" layoutInCell="1" allowOverlap="1" wp14:anchorId="7D78594E" wp14:editId="1561C617">
          <wp:simplePos x="0" y="0"/>
          <wp:positionH relativeFrom="margin">
            <wp:align>center</wp:align>
          </wp:positionH>
          <wp:positionV relativeFrom="paragraph">
            <wp:posOffset>-119380</wp:posOffset>
          </wp:positionV>
          <wp:extent cx="3134360" cy="717550"/>
          <wp:effectExtent l="0" t="0" r="8890" b="6350"/>
          <wp:wrapTight wrapText="bothSides">
            <wp:wrapPolygon edited="0">
              <wp:start x="0" y="0"/>
              <wp:lineTo x="0" y="21218"/>
              <wp:lineTo x="21530" y="21218"/>
              <wp:lineTo x="21530" y="0"/>
              <wp:lineTo x="0" y="0"/>
            </wp:wrapPolygon>
          </wp:wrapTight>
          <wp:docPr id="1068228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28457" name="Picture 1068228457"/>
                  <pic:cNvPicPr/>
                </pic:nvPicPr>
                <pic:blipFill>
                  <a:blip r:embed="rId1">
                    <a:extLst>
                      <a:ext uri="{28A0092B-C50C-407E-A947-70E740481C1C}">
                        <a14:useLocalDpi xmlns:a14="http://schemas.microsoft.com/office/drawing/2010/main" val="0"/>
                      </a:ext>
                    </a:extLst>
                  </a:blip>
                  <a:stretch>
                    <a:fillRect/>
                  </a:stretch>
                </pic:blipFill>
                <pic:spPr>
                  <a:xfrm>
                    <a:off x="0" y="0"/>
                    <a:ext cx="313436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384"/>
    <w:multiLevelType w:val="hybridMultilevel"/>
    <w:tmpl w:val="120A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6BF1"/>
    <w:multiLevelType w:val="hybridMultilevel"/>
    <w:tmpl w:val="8FA4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A0F34"/>
    <w:multiLevelType w:val="hybridMultilevel"/>
    <w:tmpl w:val="F1A028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887A32"/>
    <w:multiLevelType w:val="hybridMultilevel"/>
    <w:tmpl w:val="6004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275BB"/>
    <w:multiLevelType w:val="hybridMultilevel"/>
    <w:tmpl w:val="CFCC3F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174CC0"/>
    <w:multiLevelType w:val="hybridMultilevel"/>
    <w:tmpl w:val="C908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02F19"/>
    <w:multiLevelType w:val="hybridMultilevel"/>
    <w:tmpl w:val="34FA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06313"/>
    <w:multiLevelType w:val="hybridMultilevel"/>
    <w:tmpl w:val="4B7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A372E"/>
    <w:multiLevelType w:val="hybridMultilevel"/>
    <w:tmpl w:val="628A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B7A56"/>
    <w:multiLevelType w:val="hybridMultilevel"/>
    <w:tmpl w:val="088A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E66A4"/>
    <w:multiLevelType w:val="hybridMultilevel"/>
    <w:tmpl w:val="CD30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D2C3A"/>
    <w:multiLevelType w:val="hybridMultilevel"/>
    <w:tmpl w:val="E3C0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F7412"/>
    <w:multiLevelType w:val="hybridMultilevel"/>
    <w:tmpl w:val="6110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785945">
    <w:abstractNumId w:val="5"/>
  </w:num>
  <w:num w:numId="2" w16cid:durableId="1971546645">
    <w:abstractNumId w:val="2"/>
  </w:num>
  <w:num w:numId="3" w16cid:durableId="1589583892">
    <w:abstractNumId w:val="4"/>
  </w:num>
  <w:num w:numId="4" w16cid:durableId="1544487455">
    <w:abstractNumId w:val="0"/>
  </w:num>
  <w:num w:numId="5" w16cid:durableId="94834977">
    <w:abstractNumId w:val="10"/>
  </w:num>
  <w:num w:numId="6" w16cid:durableId="517699280">
    <w:abstractNumId w:val="8"/>
  </w:num>
  <w:num w:numId="7" w16cid:durableId="818427534">
    <w:abstractNumId w:val="3"/>
  </w:num>
  <w:num w:numId="8" w16cid:durableId="1399133263">
    <w:abstractNumId w:val="9"/>
  </w:num>
  <w:num w:numId="9" w16cid:durableId="432946328">
    <w:abstractNumId w:val="7"/>
  </w:num>
  <w:num w:numId="10" w16cid:durableId="1639337359">
    <w:abstractNumId w:val="6"/>
  </w:num>
  <w:num w:numId="11" w16cid:durableId="780762756">
    <w:abstractNumId w:val="11"/>
  </w:num>
  <w:num w:numId="12" w16cid:durableId="83385490">
    <w:abstractNumId w:val="1"/>
  </w:num>
  <w:num w:numId="13" w16cid:durableId="898511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51"/>
    <w:rsid w:val="000400F6"/>
    <w:rsid w:val="001A62F9"/>
    <w:rsid w:val="001C3E3B"/>
    <w:rsid w:val="001D165F"/>
    <w:rsid w:val="00206E34"/>
    <w:rsid w:val="002D792C"/>
    <w:rsid w:val="0030625D"/>
    <w:rsid w:val="003431D2"/>
    <w:rsid w:val="00457106"/>
    <w:rsid w:val="004E28CB"/>
    <w:rsid w:val="005332DA"/>
    <w:rsid w:val="005E5093"/>
    <w:rsid w:val="00675E2E"/>
    <w:rsid w:val="006A539B"/>
    <w:rsid w:val="007406E8"/>
    <w:rsid w:val="00780AAA"/>
    <w:rsid w:val="008E598E"/>
    <w:rsid w:val="008F5F76"/>
    <w:rsid w:val="00965DF5"/>
    <w:rsid w:val="00972A16"/>
    <w:rsid w:val="00A02CC2"/>
    <w:rsid w:val="00A93288"/>
    <w:rsid w:val="00AC25D8"/>
    <w:rsid w:val="00AD371E"/>
    <w:rsid w:val="00C043E7"/>
    <w:rsid w:val="00DD5C49"/>
    <w:rsid w:val="00E4608E"/>
    <w:rsid w:val="00EC1C51"/>
    <w:rsid w:val="00FB7794"/>
    <w:rsid w:val="00FC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7469"/>
  <w15:docId w15:val="{F66BF2F2-DFA2-4305-9F8E-831852B7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2DA"/>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C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C1C51"/>
    <w:rPr>
      <w:b/>
      <w:bCs/>
    </w:rPr>
  </w:style>
  <w:style w:type="paragraph" w:styleId="ListParagraph">
    <w:name w:val="List Paragraph"/>
    <w:basedOn w:val="Normal"/>
    <w:uiPriority w:val="34"/>
    <w:qFormat/>
    <w:rsid w:val="00EC1C51"/>
    <w:pPr>
      <w:ind w:left="720"/>
      <w:contextualSpacing/>
    </w:pPr>
  </w:style>
  <w:style w:type="paragraph" w:styleId="Header">
    <w:name w:val="header"/>
    <w:basedOn w:val="Normal"/>
    <w:link w:val="HeaderChar"/>
    <w:uiPriority w:val="99"/>
    <w:unhideWhenUsed/>
    <w:rsid w:val="00972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A16"/>
  </w:style>
  <w:style w:type="paragraph" w:styleId="Footer">
    <w:name w:val="footer"/>
    <w:basedOn w:val="Normal"/>
    <w:link w:val="FooterChar"/>
    <w:uiPriority w:val="99"/>
    <w:unhideWhenUsed/>
    <w:rsid w:val="0097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A16"/>
  </w:style>
  <w:style w:type="character" w:customStyle="1" w:styleId="Heading1Char">
    <w:name w:val="Heading 1 Char"/>
    <w:basedOn w:val="DefaultParagraphFont"/>
    <w:link w:val="Heading1"/>
    <w:uiPriority w:val="9"/>
    <w:rsid w:val="005332DA"/>
    <w:rPr>
      <w:rFonts w:asciiTheme="majorHAnsi" w:eastAsiaTheme="majorEastAsia" w:hAnsiTheme="majorHAnsi" w:cstheme="majorBidi"/>
      <w:b/>
      <w:bCs/>
      <w:color w:val="2F5496" w:themeColor="accent1" w:themeShade="BF"/>
      <w:kern w:val="0"/>
      <w:sz w:val="28"/>
      <w:szCs w:val="28"/>
      <w:lang w:val="en-US"/>
      <w14:ligatures w14:val="none"/>
    </w:rPr>
  </w:style>
  <w:style w:type="character" w:styleId="CommentReference">
    <w:name w:val="annotation reference"/>
    <w:basedOn w:val="DefaultParagraphFont"/>
    <w:uiPriority w:val="99"/>
    <w:semiHidden/>
    <w:unhideWhenUsed/>
    <w:rsid w:val="005332DA"/>
    <w:rPr>
      <w:sz w:val="16"/>
      <w:szCs w:val="16"/>
    </w:rPr>
  </w:style>
  <w:style w:type="paragraph" w:styleId="CommentText">
    <w:name w:val="annotation text"/>
    <w:basedOn w:val="Normal"/>
    <w:link w:val="CommentTextChar"/>
    <w:uiPriority w:val="99"/>
    <w:unhideWhenUsed/>
    <w:rsid w:val="005332DA"/>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5332DA"/>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0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Dean</dc:creator>
  <cp:keywords/>
  <dc:description/>
  <cp:lastModifiedBy>Jack Wholey</cp:lastModifiedBy>
  <cp:revision>3</cp:revision>
  <dcterms:created xsi:type="dcterms:W3CDTF">2026-05-06T08:15:00Z</dcterms:created>
  <dcterms:modified xsi:type="dcterms:W3CDTF">2026-05-06T08:25:00Z</dcterms:modified>
</cp:coreProperties>
</file>